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INTERVENTO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Pedemontana, ora va studiata l’alternativa più vantaggiosa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Anche senza sospendere i lavori si dovrebbe avviare al più presto un ripensamento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complessivo sulla strategia da adottare per risolvere il problema del traffico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 TIZIANO TEMPESTA * La scelta del Presidente della Giunta Regionale Luca Zaia di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imporre un’addizionale IRPEF per finanziare il completamento della Superstrada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Pedemontana Veneta a pagamento ha avuto sicuramente il pregio di rendere esplicito il fatto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che i residenti nel Veneto dovranno pagare di tasca propria la sua realizzazione. Fino a questo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momento sembra che nessuno se ne fosse reso ben conto. Pareva che i 640 milioni di euro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messi dallo Stato italiano provenissero da un paese estero e nessuno si rendeva conto che in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realtà si tratta né più e né meno che di una partita di giro delle imposte che i residenti del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Veneto versano allo Stato. Un secondo dato che la proposta formulata dal Presidente della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Giunta Regionale ha messo in evidenza è che in realtà nessuno sembra avere un’idea precisa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 quanto costerà realmente quest’opera e di quali benefici produrrà per la popolazione. Al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massimo sino ad ora si è parlato e si continua a parlare di flussi finanziari, oneri a carico della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regione e oneri a carico del Consorzio SIS che la deve costruire, ma nessuno ha ancora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spiegato chiaramente perché la Superstrada debba essere costruita. In altri termini, nessuno ha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presentato una seria analisi dei costi e dei benefici predisposta secondo le indicazioni della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Banca Europea degli Investimenti (BEI). Quello che sembra prevalere è un approccio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fortemente ideologico secondo cui la Superstrada si deve costruire perché sicuramente 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benefici supereranno i costi e quindi la sua costruzione è vantaggiosa a prescindere da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qualsiasi altra considerazione. Eppure per sostenere investimenti di portata notevolmente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inferiore la BEI richiede lo svolgimento di studi approfonditi volti a dimostrare l’effettiva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convenienza sociale di un’opera. Anche se in questo caso la BEI non è coinvolta, correttezza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vorrebbe che i nostri amministratori seguissero le sue indicazioni in materia di analisi costi-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benefici. Al riguardo ci sono alcuni elementi delle linee guida proposte dalla BEI che val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pena di richiamare. In primo luogo, la BEI distingue nettamente tra analisi finanziaria, che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riguarda i profitti privati dell’opera, e analisi economica, che riguarda i suoi effetti globali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compresi quelli che ricadono su altri soggetti economici e sull’ambiente. Nel caso specifico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della Superstrada Pedemontana ci si dovrebbe ad esempio chiedere se farà aumentare il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reddito dei cittadini, se aumenterà stabilmente l’occupazione, se si ridurranno i danni causati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dagli incidenti d’auto. Riguardo all’ambiente si dovrebbe sapere se aumenteranno o si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ridurranno le emissioni di anidride carbonica e di particelle sottili e quale potrebbe essere il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valore monetario di tali variazioni, oppure si dovrebbero quantificare economicamente 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danni irreversibili causati dal consumo di suolo o di quelli conseguenti a possibili fenomeni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 inquinamento dell’acquifero che alimenta gli acquedotti di pianura. Un secondo elemento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posto in evidenza dalla BEI è che perché sia conveniente la realizzazione di un’opera non è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sufficiente che i benefici siano superiori ai costi, è necessario che i benefici netti siano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superiori anche a quelli di altre soluzioni alternative (o controfattuali). I controfattuali da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considerare devono essere di tre tipi: non fare nulla, fare il minimo, fare qualcos’altro cioè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migliorare la realizzazione dell’opera. Secondo la BEI bisogna perciò sempre dimostrare che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il progetto che si intende realizzare comporta un miglioramento del benessere con riferimento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allo status quo o a soluzioni di minor impatto territoriale. Purtroppo a leggere il dibattito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attuale sulla Superstrada Pedemontana Veneta pare che il problema che assilla la nostra classe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dirigente non sia di stabilire se migliorerà il benessere della popolazione, ma solo di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individuare quale sia la strategia finanziaria migliore per portarla a termine. Cosa dovrebbe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fare la classe politica del Veneto se volesse realmente migliorare il benessere dei cittadini?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Invece di arroccarsi dietro prese di posizione volte a giustificare evidenti errori di valutazione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fatti nel passato, dovrebbe avviare al più presto una seria e scientifica valutazione dei costi 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dei benefici economici e sociali e individuare l’alternativa più vantaggiosa per il Veneto e per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 suoi residenti attuali e futuri che potrebbe anche non coincidere con la sua integrale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realizzazione. Anche senza sospendere i lavori, ma semplicemente cercando di portare 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termine i tratti di strada già prossimi al completamento, si dovrebbe avviare al più presto un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ripensamento complessivo sulla strategia da adottare per risolvere il problema del traffico nell’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alta pianura veneta. Il costo di una tale operazione sarebbe infinitamente più basso dei danni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che potrebbero derivare da scelte errate che potrebbero gravare pesantemente sul futuro della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nostra regione. * Dipartimento TESAF Università di Padova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163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769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